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665" w:rsidRPr="009B7665" w:rsidRDefault="009B7665" w:rsidP="009B7665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Ogłoszenie nr 557222-N-2017 z dnia 2017-07-25 r. </w:t>
      </w:r>
    </w:p>
    <w:p w:rsidR="009B7665" w:rsidRPr="009B7665" w:rsidRDefault="009B7665" w:rsidP="009B76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>Gmina Korczew: "Zakup średniego samochodu pożarniczego wraz z wyposażeniem dla OSP Korczew"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OGŁOSZENIE O ZAMÓWIENIU - Dostawy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Zamieszczanie ogłoszenia: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Zamieszczanie obowiązkowe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Ogłoszenie dotyczy: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publicznego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Tak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Nazwa projektu lub programu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Regionalny Program Operacyjny Województwa Mazowieckiego na lata 2014-2020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SEKCJA I: ZAMAWIAJĄCY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dodatkowe: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 1) NAZWA I ADRES: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Gmina Korczew, krajowy numer identyfikacyjny 711582486, ul. ul. Ks. Brzóski  20 a , 08-108   Korczew, woj. mazowieckie, państwo Polska, tel. 256 312 078, , e-mail korczew@vp.pl, , faks 256 312 089.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strony internetowej (URL): http://www.korczew.pl/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profilu nabywcy: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Administracja samorządowa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9B766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: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I.4) KOMUNIKACJA: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Tak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http://www.bip.korczew.pl/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Tak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http://www.bip.korczew.pl/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Elektronicznie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Inny sposób: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Tak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Inny sposób: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Ofertę należy złożyć za pośrednictwem operatora pocztowego w rozumieniu ustawy z dnia 23 listopada 2012 – Prawo pocztowe (Dz. U. 2016 poz. 1113 z </w:t>
      </w:r>
      <w:proofErr w:type="spellStart"/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spellStart"/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>zm</w:t>
      </w:r>
      <w:proofErr w:type="spellEnd"/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), osobiście lub za pośrednictwem posłańca, w siedzibie Zamawiającego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Urząd Gminy Korczew, ul. Ks. Brzóski 20a, 08-108 Korczew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"Zakup średniego samochodu pożarniczego wraz z wyposażeniem dla OSP Korczew"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Numer referencyjny: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9B7665" w:rsidRPr="009B7665" w:rsidRDefault="009B7665" w:rsidP="009B76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II.2) Rodzaj zamówienia: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Dostawy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Zamówienie podzielone jest na części: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9B766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zamówienia jest dostawa 1 szt. samochodu ratowniczo-gaśniczego wraz ze sprzętem zamontowanym na stałe, wyposażonego w podwozie z napędem 4x4, kategoria pojazdu samochodu II (uterenowiony), jak również: 1. dodatkowy sprzęt ratowniczo-gaśniczy niezamontowany na stałe w tym: 1.1 Pompa pożarnicza 1.2 Zestaw ratownictwa technicznego 1.3 Zestaw ratownictwa medycznego 1.4 Agregat prądotwórczy 2. Specjalistyczny sprzęt z zakresu ochrony przeciwpowodziowej: 2.1 Pompa szlamowa 2.2 Zapora przeciwpowodziowa 3. Sprzęt dla specjalistycznych grup ratownictwa wodnego: 3.1 Zestaw do ratownictwa wodnego 3.2 Wąż tłoczny W75 i wąż tłoczony W52 3.3 Przełącznik 75/52 3.4 Wąż ssawny 4. Sprzęt dla specjalistycznych grup ratownictwa chemiczno-ekologicznego: 4.1 Wentylator oddymiający 4.2 Sorbent do zbierania zanieczyszczeń ropopochodnych 4.3 Urządzenie do wytworzenia zasłony wodnej 4.4 Aparat powietrzny 5. Sprzęt dla specjalistycznych grup poszukiwawczo-ratowniczych: 5.1 Narzędzie ratownicze 5.2 Piła do cięcia szkła 5.3 Pilarka łańcuchowa 5.4 Piła do betonu i stali 5.5 Siekierka 5.6 Radiotelefon 5.7 Latarki </w:t>
      </w:r>
      <w:proofErr w:type="spellStart"/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>ledowe</w:t>
      </w:r>
      <w:proofErr w:type="spellEnd"/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6. Sprzęt dla specjalistycznych grup ratownictwa wysokościowego 6.1 Drabina nasadkowa 6.2 Linka strażacka ratownicza 6.3 Szelki bezpieczeństwa Dokładny zakres zamówienia obejmuje załącznik nr 2 do SIWZ.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II.5) Główny kod CPV: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34144210-3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Dodatkowe kody CPV: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9B7665" w:rsidRPr="009B7665" w:rsidTr="009B76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665" w:rsidRPr="009B7665" w:rsidRDefault="009B7665" w:rsidP="009B7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B76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9B7665" w:rsidRPr="009B7665" w:rsidTr="009B76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665" w:rsidRPr="009B7665" w:rsidRDefault="009B7665" w:rsidP="009B7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B76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35110000-8</w:t>
            </w:r>
          </w:p>
        </w:tc>
      </w:tr>
    </w:tbl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9B766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Wartość bez VAT: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Waluta: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Pzp</w:t>
      </w:r>
      <w:proofErr w:type="spellEnd"/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>miesiącach:   </w:t>
      </w:r>
      <w:r w:rsidRPr="009B766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lub </w:t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dniach: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lub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data rozpoczęcia: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9B766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lub </w:t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zakończenia: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2017-11-10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Określenie warunków: Zamawiający nie precyzuje szczegółowych warunków w tym zakresie.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Określenie warunków: Zamawiający nie precyzuje szczegółowych warunków w tym zakresie.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Określenie warunków: Zamawiający wymaga aby Wykonawca posiadał doświadczenie w zakresie zrealizowania w okresie nie wcześniejszym niż ostatnich 3 lat przed terminem składania ofert, a jeżeli okres prowadzenia działalności jest krótszy w tym okresie przynajmniej dwie dostawy średniego lub ciężkiego samochodu pożarniczego wraz z wyposażeniem o wartości co najmniej 500.000,00zł każda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 xml:space="preserve">III.2.1) Podstawy wykluczenia określone w art. 24 ust. 1 ustawy </w:t>
      </w:r>
      <w:proofErr w:type="spellStart"/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Pzp</w:t>
      </w:r>
      <w:proofErr w:type="spellEnd"/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Pzp</w:t>
      </w:r>
      <w:proofErr w:type="spellEnd"/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III.5.2) W ZAKRESIE KRYTERIÓW SELEKCJI: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IV: PROCEDURA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IV.1) OPIS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Przetarg nieograniczony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IV.1.2) Zamawiający żąda wniesienia wadium: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Tak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Informacja na temat wadium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Wykonawca przystępując do przetargu jest zobowiązany wnieść wadium w kwocie 10 000zł (słownie: dziesięć tysięcy złotych) 2. Wadium może być wniesione w jednej lub kilku następujących formach: 2.1 pieniądzu; 2.2 poręczeniach bankowych lub poręczeniach spółdzielczej kasy oszczędnościowo - kredytowej, z tym że poręczenie kasy jest zawsze poręczeniem pieniężnym; 2.3 gwarancjach bankowych 2.4 gwarancjach ubezpieczeniowych; 2.5 poręczeniach udzielanych przez podmioty, o których mowa w art. 6b ust. 5 pkt 2 ustawy z dnia 9 listopada 2000r. o utworzeniu Polskiej Agencji Rozwoju Przedsiębiorczości (Dz. U. z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2016 r, poz. 359 z </w:t>
      </w:r>
      <w:proofErr w:type="spellStart"/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. zm.) 3. Wadium wnoszone w pieniądzu wpłaca się przelewem na rachunek bankowy: Gmina Korczew 33 9194 0007 0075 0471 2000 0040 z dopiskiem „Wadium w postępowaniu o udzielenie zamówienia publicznego na zakup średniego samochodu pożarniczego wraz z wyposażeniem dla OSP Korczew” 4. Oferta Wykonawcy, który nie wniósł wadium lub wniósł je w sposób nieprawidłowy zostanie odrzucona (art. 89 ust. 1 pkt 7b </w:t>
      </w:r>
      <w:proofErr w:type="spellStart"/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) 5. Oryginał dowodu wniesienia wadium należy złożyć w siedzibie zamawiającego lub załączyć do oferty.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Dopuszcza się złożenie oferty wariantowej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Liczba wykonawców  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Przewidywana minimalna liczba wykonawców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Maksymalna liczba wykonawców  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Kryteria selekcji wykonawców: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Umowa ramowa będzie zawarta: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Nie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B766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Czas trwania: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Warunki zamknięcia aukcji elektronicznej: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IV.2) KRYTERIA OCENY OFERT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IV.2.2) Kryteria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016"/>
      </w:tblGrid>
      <w:tr w:rsidR="009B7665" w:rsidRPr="009B7665" w:rsidTr="009B76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665" w:rsidRPr="009B7665" w:rsidRDefault="009B7665" w:rsidP="009B7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B76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665" w:rsidRPr="009B7665" w:rsidRDefault="009B7665" w:rsidP="009B7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B76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B7665" w:rsidRPr="009B7665" w:rsidTr="009B76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665" w:rsidRPr="009B7665" w:rsidRDefault="009B7665" w:rsidP="009B7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B76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 w PLN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665" w:rsidRPr="009B7665" w:rsidRDefault="009B7665" w:rsidP="009B7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B76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B7665" w:rsidRPr="009B7665" w:rsidTr="009B76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665" w:rsidRPr="009B7665" w:rsidRDefault="009B7665" w:rsidP="009B7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B76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665" w:rsidRPr="009B7665" w:rsidRDefault="009B7665" w:rsidP="009B7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B76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9B7665" w:rsidRPr="009B7665" w:rsidTr="009B76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665" w:rsidRPr="009B7665" w:rsidRDefault="009B7665" w:rsidP="009B7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B76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warunki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665" w:rsidRPr="009B7665" w:rsidRDefault="009B7665" w:rsidP="009B7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B76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Pzp</w:t>
      </w:r>
      <w:proofErr w:type="spellEnd"/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(przetarg nieograniczony)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 xml:space="preserve">IV.3) Negocjacje z ogłoszeniem, dialog konkurencyjny, partnerstwo innowacyjne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Wstępny harmonogram postępowania: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Czas trwania: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Data: godzina: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Termin i warunki zamknięcia licytacji elektronicznej: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</w:p>
    <w:p w:rsidR="009B7665" w:rsidRPr="009B7665" w:rsidRDefault="009B7665" w:rsidP="009B7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IV.5) ZMIANA UMOWY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Nie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9B766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(jeżeli dotyczy):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Data: 2017-08-02, godzina: 10:00,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Wskazać powody: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&gt; język polski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Tak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B76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IV.6.6) Informacje dodatkowe: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7665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9B7665" w:rsidRPr="009B7665" w:rsidRDefault="009B7665" w:rsidP="009B76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6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ZAŁĄCZNIK I - INFORMACJE DOTYCZĄCE OFERT CZĘŚCIOWYCH</w:t>
      </w:r>
    </w:p>
    <w:p w:rsidR="009C3E98" w:rsidRDefault="009C3E98">
      <w:bookmarkStart w:id="0" w:name="_GoBack"/>
      <w:bookmarkEnd w:id="0"/>
    </w:p>
    <w:sectPr w:rsidR="009C3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65"/>
    <w:rsid w:val="006F2B7F"/>
    <w:rsid w:val="009B7665"/>
    <w:rsid w:val="009C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D0EE9-E670-4957-A91D-D702839D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B7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3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55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8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0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0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0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1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2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16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2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5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0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8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2713</Words>
  <Characters>16284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PRAC03</dc:creator>
  <cp:keywords/>
  <dc:description/>
  <cp:lastModifiedBy>PRAC03</cp:lastModifiedBy>
  <cp:revision>1</cp:revision>
  <dcterms:created xsi:type="dcterms:W3CDTF">2017-07-25T07:45:00Z</dcterms:created>
  <dcterms:modified xsi:type="dcterms:W3CDTF">2017-07-25T07:46:00Z</dcterms:modified>
</cp:coreProperties>
</file>